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8" w:lineRule="auto"/>
        <w:rPr>
          <w:rFonts w:ascii="Arial"/>
          <w:sz w:val="21"/>
        </w:rPr>
      </w:pPr>
    </w:p>
    <w:p>
      <w:pPr>
        <w:spacing w:line="359" w:lineRule="auto"/>
        <w:rPr>
          <w:rFonts w:ascii="Arial"/>
          <w:sz w:val="21"/>
        </w:rPr>
      </w:pPr>
    </w:p>
    <w:p>
      <w:pPr>
        <w:spacing w:before="101" w:line="391" w:lineRule="auto"/>
        <w:ind w:left="7318" w:right="26" w:firstLine="1120"/>
        <w:rPr>
          <w:rFonts w:ascii="仿宋" w:hAnsi="仿宋" w:eastAsia="仿宋" w:cs="仿宋"/>
          <w:sz w:val="31"/>
          <w:szCs w:val="31"/>
        </w:rPr>
      </w:pPr>
      <w:r>
        <w:rPr>
          <w:rFonts w:ascii="仿宋" w:hAnsi="仿宋" w:eastAsia="仿宋" w:cs="仿宋"/>
          <w:spacing w:val="-22"/>
          <w:sz w:val="31"/>
          <w:szCs w:val="31"/>
        </w:rPr>
        <w:t>[B]</w:t>
      </w:r>
      <w:r>
        <w:rPr>
          <w:rFonts w:ascii="仿宋" w:hAnsi="仿宋" w:eastAsia="仿宋" w:cs="仿宋"/>
          <w:sz w:val="31"/>
          <w:szCs w:val="31"/>
        </w:rPr>
        <w:t xml:space="preserve"> </w:t>
      </w:r>
      <w:r>
        <w:rPr>
          <w:rFonts w:ascii="仿宋" w:hAnsi="仿宋" w:eastAsia="仿宋" w:cs="仿宋"/>
          <w:spacing w:val="-6"/>
          <w:sz w:val="31"/>
          <w:szCs w:val="31"/>
        </w:rPr>
        <w:t>[</w:t>
      </w:r>
      <w:r>
        <w:rPr>
          <w:rFonts w:ascii="仿宋" w:hAnsi="仿宋" w:eastAsia="仿宋" w:cs="仿宋"/>
          <w:spacing w:val="-5"/>
          <w:sz w:val="31"/>
          <w:szCs w:val="31"/>
        </w:rPr>
        <w:t>同意公开]</w:t>
      </w:r>
    </w:p>
    <w:p>
      <w:pPr>
        <w:spacing w:before="581" w:line="185" w:lineRule="auto"/>
        <w:ind w:left="687"/>
        <w:rPr>
          <w:rFonts w:hint="eastAsia" w:ascii="方正小标宋_GBK" w:hAnsi="方正小标宋_GBK" w:eastAsia="方正小标宋_GBK" w:cs="方正小标宋_GBK"/>
          <w:sz w:val="83"/>
          <w:szCs w:val="83"/>
        </w:rPr>
      </w:pPr>
      <w:bookmarkStart w:id="0" w:name="_GoBack"/>
      <w:r>
        <w:rPr>
          <w:rFonts w:hint="eastAsia" w:ascii="方正小标宋_GBK" w:hAnsi="方正小标宋_GBK" w:eastAsia="方正小标宋_GBK" w:cs="方正小标宋_GBK"/>
          <w:color w:val="FF0000"/>
          <w:spacing w:val="20"/>
          <w:sz w:val="83"/>
          <w:szCs w:val="83"/>
        </w:rPr>
        <w:t>宁</w:t>
      </w:r>
      <w:r>
        <w:rPr>
          <w:rFonts w:hint="eastAsia" w:ascii="方正小标宋_GBK" w:hAnsi="方正小标宋_GBK" w:eastAsia="方正小标宋_GBK" w:cs="方正小标宋_GBK"/>
          <w:color w:val="FF0000"/>
          <w:spacing w:val="17"/>
          <w:sz w:val="83"/>
          <w:szCs w:val="83"/>
        </w:rPr>
        <w:t xml:space="preserve"> 夏 农 林 科 学 院</w:t>
      </w:r>
    </w:p>
    <w:bookmarkEnd w:id="0"/>
    <w:p>
      <w:pPr>
        <w:spacing w:before="172" w:line="106" w:lineRule="exact"/>
        <w:textAlignment w:val="center"/>
      </w:pPr>
      <w:r>
        <w:drawing>
          <wp:inline distT="0" distB="0" distL="0" distR="0">
            <wp:extent cx="5619750" cy="6731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5620298" cy="67628"/>
                    </a:xfrm>
                    <a:prstGeom prst="rect">
                      <a:avLst/>
                    </a:prstGeom>
                  </pic:spPr>
                </pic:pic>
              </a:graphicData>
            </a:graphic>
          </wp:inline>
        </w:drawing>
      </w:r>
    </w:p>
    <w:p>
      <w:pPr>
        <w:spacing w:line="302" w:lineRule="auto"/>
        <w:rPr>
          <w:rFonts w:ascii="Arial"/>
          <w:sz w:val="21"/>
        </w:rPr>
      </w:pPr>
    </w:p>
    <w:p>
      <w:pPr>
        <w:spacing w:line="30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pacing w:val="6"/>
          <w:sz w:val="44"/>
          <w:szCs w:val="44"/>
          <w:lang w:eastAsia="zh-CN"/>
        </w:rPr>
      </w:pPr>
      <w:r>
        <w:rPr>
          <w:rFonts w:hint="eastAsia" w:ascii="方正小标宋_GBK" w:hAnsi="方正小标宋_GBK" w:eastAsia="方正小标宋_GBK" w:cs="方正小标宋_GBK"/>
          <w:spacing w:val="6"/>
          <w:sz w:val="44"/>
          <w:szCs w:val="44"/>
          <w:lang w:eastAsia="zh-CN"/>
        </w:rPr>
        <w:t>关于自治区政协十二届一次会议第</w:t>
      </w:r>
      <w:r>
        <w:rPr>
          <w:rFonts w:hint="eastAsia" w:ascii="方正小标宋_GBK" w:hAnsi="方正小标宋_GBK" w:eastAsia="方正小标宋_GBK" w:cs="方正小标宋_GBK"/>
          <w:spacing w:val="6"/>
          <w:sz w:val="44"/>
          <w:szCs w:val="44"/>
          <w:lang w:val="en-US" w:eastAsia="zh-CN"/>
        </w:rPr>
        <w:t>463</w:t>
      </w:r>
      <w:r>
        <w:rPr>
          <w:rFonts w:hint="eastAsia" w:ascii="方正小标宋_GBK" w:hAnsi="方正小标宋_GBK" w:eastAsia="方正小标宋_GBK" w:cs="方正小标宋_GBK"/>
          <w:spacing w:val="6"/>
          <w:sz w:val="44"/>
          <w:szCs w:val="44"/>
          <w:lang w:eastAsia="zh-CN"/>
        </w:rPr>
        <w:t>号</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eastAsia="zh-CN"/>
        </w:rPr>
        <w:t>提案协办意见的通报</w:t>
      </w:r>
    </w:p>
    <w:p>
      <w:pPr>
        <w:spacing w:line="350" w:lineRule="auto"/>
        <w:rPr>
          <w:rFonts w:ascii="Arial"/>
          <w:sz w:val="21"/>
        </w:rPr>
      </w:pPr>
    </w:p>
    <w:p>
      <w:pPr>
        <w:keepNext w:val="0"/>
        <w:keepLines w:val="0"/>
        <w:pageBreakBefore w:val="0"/>
        <w:widowControl w:val="0"/>
        <w:kinsoku w:val="0"/>
        <w:wordWrap/>
        <w:overflowPunct/>
        <w:topLinePunct w:val="0"/>
        <w:autoSpaceDE/>
        <w:autoSpaceDN/>
        <w:bidi w:val="0"/>
        <w:adjustRightInd w:val="0"/>
        <w:snapToGrid w:val="0"/>
        <w:spacing w:line="560" w:lineRule="exact"/>
        <w:ind w:left="0" w:firstLine="663"/>
        <w:jc w:val="both"/>
        <w:textAlignment w:val="baseline"/>
        <w:rPr>
          <w:rFonts w:hint="eastAsia" w:ascii="仿宋" w:hAnsi="仿宋" w:eastAsia="仿宋" w:cs="仿宋"/>
          <w:spacing w:val="6"/>
          <w:sz w:val="32"/>
          <w:szCs w:val="32"/>
          <w:lang w:eastAsia="zh-CN"/>
        </w:rPr>
      </w:pPr>
      <w:r>
        <w:rPr>
          <w:rFonts w:hint="eastAsia" w:ascii="仿宋" w:hAnsi="仿宋" w:eastAsia="仿宋" w:cs="仿宋"/>
          <w:spacing w:val="6"/>
          <w:sz w:val="32"/>
          <w:szCs w:val="32"/>
        </w:rPr>
        <w:t>现就</w:t>
      </w:r>
      <w:r>
        <w:rPr>
          <w:rFonts w:hint="eastAsia" w:ascii="仿宋" w:hAnsi="仿宋" w:eastAsia="仿宋" w:cs="仿宋"/>
          <w:spacing w:val="6"/>
          <w:sz w:val="32"/>
          <w:szCs w:val="32"/>
          <w:lang w:eastAsia="zh-CN"/>
        </w:rPr>
        <w:t>闫亚美</w:t>
      </w:r>
      <w:r>
        <w:rPr>
          <w:rFonts w:hint="eastAsia" w:ascii="仿宋" w:hAnsi="仿宋" w:eastAsia="仿宋" w:cs="仿宋"/>
          <w:sz w:val="32"/>
          <w:szCs w:val="32"/>
          <w:lang w:eastAsia="zh-CN"/>
        </w:rPr>
        <w:t>提案者</w:t>
      </w:r>
      <w:r>
        <w:rPr>
          <w:rFonts w:hint="eastAsia" w:ascii="仿宋" w:hAnsi="仿宋" w:eastAsia="仿宋" w:cs="仿宋"/>
          <w:spacing w:val="6"/>
          <w:sz w:val="32"/>
          <w:szCs w:val="32"/>
        </w:rPr>
        <w:t>提出的</w:t>
      </w:r>
      <w:r>
        <w:rPr>
          <w:rFonts w:hint="eastAsia" w:ascii="仿宋" w:hAnsi="仿宋" w:eastAsia="仿宋" w:cs="仿宋"/>
          <w:spacing w:val="6"/>
          <w:sz w:val="32"/>
          <w:szCs w:val="32"/>
          <w:lang w:eastAsia="zh-CN"/>
        </w:rPr>
        <w:t>第</w:t>
      </w:r>
      <w:r>
        <w:rPr>
          <w:rFonts w:hint="eastAsia" w:ascii="仿宋" w:hAnsi="仿宋" w:eastAsia="仿宋" w:cs="仿宋"/>
          <w:spacing w:val="6"/>
          <w:sz w:val="32"/>
          <w:szCs w:val="32"/>
          <w:lang w:val="en-US" w:eastAsia="zh-CN"/>
        </w:rPr>
        <w:t>463号：“关于加强枸杞基础研究助推产业发展的提案”</w:t>
      </w:r>
      <w:r>
        <w:rPr>
          <w:rFonts w:hint="eastAsia" w:ascii="仿宋" w:hAnsi="仿宋" w:eastAsia="仿宋" w:cs="仿宋"/>
          <w:spacing w:val="6"/>
          <w:sz w:val="32"/>
          <w:szCs w:val="32"/>
          <w:lang w:eastAsia="zh-CN"/>
        </w:rPr>
        <w:t>，提出如下协办意见：</w:t>
      </w:r>
    </w:p>
    <w:p>
      <w:pPr>
        <w:keepNext w:val="0"/>
        <w:keepLines w:val="0"/>
        <w:pageBreakBefore w:val="0"/>
        <w:kinsoku w:val="0"/>
        <w:wordWrap/>
        <w:overflowPunct/>
        <w:topLinePunct w:val="0"/>
        <w:bidi w:val="0"/>
        <w:adjustRightInd w:val="0"/>
        <w:snapToGrid w:val="0"/>
        <w:spacing w:line="560" w:lineRule="exact"/>
        <w:ind w:firstLine="600" w:firstLineChars="200"/>
        <w:jc w:val="both"/>
        <w:textAlignment w:val="baseline"/>
        <w:rPr>
          <w:sz w:val="30"/>
          <w:szCs w:val="30"/>
        </w:rPr>
      </w:pPr>
      <w:r>
        <w:rPr>
          <w:rFonts w:hint="eastAsia" w:ascii="仿宋" w:hAnsi="仿宋" w:eastAsia="仿宋" w:cs="仿宋"/>
          <w:sz w:val="30"/>
          <w:szCs w:val="30"/>
        </w:rPr>
        <w:t>我院结合枸杞产业发展实际，在自治区枸杞产业包抓机制办公室、科技厅、林草局等单位和部门的大力支持下，积极开展枸杞种质资源收集保存利用、配套技术研发、团队建设等方面取得了主要</w:t>
      </w:r>
      <w:r>
        <w:rPr>
          <w:rFonts w:ascii="仿宋" w:hAnsi="仿宋" w:eastAsia="仿宋" w:cs="仿宋"/>
          <w:sz w:val="30"/>
          <w:szCs w:val="30"/>
        </w:rPr>
        <w:t>进展</w:t>
      </w:r>
      <w:r>
        <w:rPr>
          <w:rFonts w:hint="eastAsia" w:ascii="仿宋" w:hAnsi="仿宋" w:eastAsia="仿宋" w:cs="仿宋"/>
          <w:sz w:val="30"/>
          <w:szCs w:val="30"/>
          <w:lang w:eastAsia="zh-CN"/>
        </w:rPr>
        <w:t>。</w:t>
      </w:r>
      <w:r>
        <w:rPr>
          <w:sz w:val="30"/>
          <w:szCs w:val="30"/>
        </w:rPr>
        <w:t xml:space="preserve"> </w:t>
      </w:r>
    </w:p>
    <w:p>
      <w:pPr>
        <w:keepNext w:val="0"/>
        <w:keepLines w:val="0"/>
        <w:pageBreakBefore w:val="0"/>
        <w:kinsoku w:val="0"/>
        <w:wordWrap/>
        <w:overflowPunct/>
        <w:topLinePunct w:val="0"/>
        <w:bidi w:val="0"/>
        <w:adjustRightInd w:val="0"/>
        <w:snapToGrid w:val="0"/>
        <w:spacing w:line="560" w:lineRule="exact"/>
        <w:ind w:firstLine="643" w:firstLineChars="200"/>
        <w:jc w:val="both"/>
        <w:textAlignment w:val="baseline"/>
        <w:rPr>
          <w:rFonts w:ascii="仿宋" w:hAnsi="仿宋" w:eastAsia="仿宋" w:cs="仿宋"/>
          <w:color w:val="000000"/>
          <w:sz w:val="32"/>
          <w:szCs w:val="32"/>
        </w:rPr>
      </w:pPr>
      <w:r>
        <w:rPr>
          <w:rFonts w:hint="eastAsia" w:ascii="仿宋" w:hAnsi="仿宋" w:eastAsia="仿宋" w:cs="仿宋"/>
          <w:b/>
          <w:bCs/>
          <w:sz w:val="32"/>
          <w:szCs w:val="32"/>
        </w:rPr>
        <w:t>一是</w:t>
      </w:r>
      <w:r>
        <w:rPr>
          <w:rFonts w:hint="eastAsia" w:ascii="仿宋" w:hAnsi="仿宋" w:eastAsia="仿宋" w:cs="仿宋"/>
          <w:b/>
          <w:bCs/>
          <w:color w:val="000000"/>
          <w:sz w:val="32"/>
          <w:szCs w:val="32"/>
        </w:rPr>
        <w:t>积极推进枸杞良种选育工作。</w:t>
      </w:r>
      <w:r>
        <w:rPr>
          <w:rFonts w:hint="eastAsia" w:ascii="仿宋" w:hAnsi="仿宋" w:eastAsia="仿宋" w:cs="仿宋"/>
          <w:color w:val="000000"/>
          <w:sz w:val="32"/>
          <w:szCs w:val="32"/>
        </w:rPr>
        <w:t>加大收集、鉴定枸杞优异资源，充实、壮大提升国家级枸杞种质资源库的建设能力。</w:t>
      </w:r>
      <w:r>
        <w:rPr>
          <w:rFonts w:hint="eastAsia" w:ascii="仿宋" w:hAnsi="仿宋" w:eastAsia="仿宋" w:cs="仿宋"/>
          <w:sz w:val="32"/>
          <w:szCs w:val="32"/>
        </w:rPr>
        <w:t>建成了国内首家枸杞种</w:t>
      </w:r>
      <w:r>
        <w:rPr>
          <w:rFonts w:hint="eastAsia" w:ascii="仿宋" w:hAnsi="仿宋" w:eastAsia="仿宋" w:cs="仿宋"/>
          <w:sz w:val="32"/>
          <w:szCs w:val="32"/>
          <w:lang w:eastAsia="zh-CN"/>
        </w:rPr>
        <w:t>质</w:t>
      </w:r>
      <w:r>
        <w:rPr>
          <w:rFonts w:hint="eastAsia" w:ascii="仿宋" w:hAnsi="仿宋" w:eastAsia="仿宋" w:cs="仿宋"/>
          <w:sz w:val="32"/>
          <w:szCs w:val="32"/>
        </w:rPr>
        <w:t>保存库，2022年确定为第一批国家农作物种质资源圃，收集保存国内外15种2600份枸杞种质资源，活体植株5万份；牵头制定出第一个国际枸杞DUS测试指南，为国际枸杞新品种精准鉴定提供检测依据；</w:t>
      </w:r>
      <w:r>
        <w:rPr>
          <w:rFonts w:hint="eastAsia" w:ascii="仿宋" w:hAnsi="仿宋" w:eastAsia="仿宋" w:cs="仿宋"/>
          <w:color w:val="000000"/>
          <w:sz w:val="32"/>
          <w:szCs w:val="32"/>
        </w:rPr>
        <w:t>启动实施了枸杞新品种选育、枸杞种质资源精准鉴定技术研究、药用枸杞评价标准研究与构建以及枸杞基因组等研究工作，重点围绕鲜食、药用、叶用、加工等功能性枸杞优新良种培育，</w:t>
      </w:r>
      <w:r>
        <w:rPr>
          <w:rFonts w:ascii="仿宋" w:hAnsi="仿宋" w:eastAsia="仿宋" w:cs="仿宋"/>
          <w:color w:val="000000"/>
          <w:sz w:val="32"/>
          <w:szCs w:val="32"/>
        </w:rPr>
        <w:t>筛选出</w:t>
      </w:r>
      <w:r>
        <w:rPr>
          <w:rFonts w:hint="eastAsia" w:ascii="仿宋" w:hAnsi="仿宋" w:eastAsia="仿宋" w:cs="仿宋"/>
          <w:color w:val="000000"/>
          <w:sz w:val="32"/>
          <w:szCs w:val="32"/>
        </w:rPr>
        <w:t>高糖、高甜菜碱、高玉米黄素、高黄酮、抗木虱、抗蚜虫</w:t>
      </w:r>
      <w:r>
        <w:rPr>
          <w:rFonts w:ascii="仿宋" w:hAnsi="仿宋" w:eastAsia="仿宋" w:cs="仿宋"/>
          <w:color w:val="000000"/>
          <w:sz w:val="32"/>
          <w:szCs w:val="32"/>
        </w:rPr>
        <w:t>、耐盐、高光效</w:t>
      </w:r>
      <w:r>
        <w:rPr>
          <w:rFonts w:hint="eastAsia" w:ascii="仿宋" w:hAnsi="仿宋" w:eastAsia="仿宋" w:cs="仿宋"/>
          <w:color w:val="000000"/>
          <w:sz w:val="32"/>
          <w:szCs w:val="32"/>
        </w:rPr>
        <w:t>类型</w:t>
      </w:r>
      <w:r>
        <w:rPr>
          <w:rFonts w:ascii="仿宋" w:hAnsi="仿宋" w:eastAsia="仿宋" w:cs="仿宋"/>
          <w:color w:val="000000"/>
          <w:sz w:val="32"/>
          <w:szCs w:val="32"/>
        </w:rPr>
        <w:t xml:space="preserve">优质资源 </w:t>
      </w:r>
      <w:r>
        <w:rPr>
          <w:rFonts w:hint="eastAsia" w:ascii="仿宋" w:hAnsi="仿宋" w:eastAsia="仿宋" w:cs="仿宋"/>
          <w:color w:val="000000"/>
          <w:sz w:val="32"/>
          <w:szCs w:val="32"/>
        </w:rPr>
        <w:t>39</w:t>
      </w:r>
      <w:r>
        <w:rPr>
          <w:rFonts w:ascii="仿宋" w:hAnsi="仿宋" w:eastAsia="仿宋" w:cs="仿宋"/>
          <w:color w:val="000000"/>
          <w:sz w:val="32"/>
          <w:szCs w:val="32"/>
        </w:rPr>
        <w:t>份，挖掘</w:t>
      </w:r>
      <w:r>
        <w:rPr>
          <w:rFonts w:hint="eastAsia" w:ascii="仿宋" w:hAnsi="仿宋" w:eastAsia="仿宋" w:cs="仿宋"/>
          <w:color w:val="000000"/>
          <w:sz w:val="32"/>
          <w:szCs w:val="32"/>
        </w:rPr>
        <w:t>相关调控</w:t>
      </w:r>
      <w:r>
        <w:rPr>
          <w:rFonts w:ascii="仿宋" w:hAnsi="仿宋" w:eastAsia="仿宋" w:cs="仿宋"/>
          <w:color w:val="000000"/>
          <w:sz w:val="32"/>
          <w:szCs w:val="32"/>
        </w:rPr>
        <w:t>基因</w:t>
      </w:r>
      <w:r>
        <w:rPr>
          <w:rFonts w:hint="eastAsia" w:ascii="仿宋" w:hAnsi="仿宋" w:eastAsia="仿宋" w:cs="仿宋"/>
          <w:color w:val="000000"/>
          <w:sz w:val="32"/>
          <w:szCs w:val="32"/>
        </w:rPr>
        <w:t>27</w:t>
      </w:r>
      <w:r>
        <w:rPr>
          <w:rFonts w:ascii="仿宋" w:hAnsi="仿宋" w:eastAsia="仿宋" w:cs="仿宋"/>
          <w:color w:val="000000"/>
          <w:sz w:val="32"/>
          <w:szCs w:val="32"/>
        </w:rPr>
        <w:t>个；配置杂交组合</w:t>
      </w:r>
      <w:r>
        <w:rPr>
          <w:rFonts w:hint="eastAsia" w:ascii="仿宋" w:hAnsi="仿宋" w:eastAsia="仿宋" w:cs="仿宋"/>
          <w:color w:val="000000"/>
          <w:sz w:val="32"/>
          <w:szCs w:val="32"/>
        </w:rPr>
        <w:t>325</w:t>
      </w:r>
      <w:r>
        <w:rPr>
          <w:rFonts w:ascii="仿宋" w:hAnsi="仿宋" w:eastAsia="仿宋" w:cs="仿宋"/>
          <w:color w:val="000000"/>
          <w:sz w:val="32"/>
          <w:szCs w:val="32"/>
        </w:rPr>
        <w:t xml:space="preserve"> 个，获得杂交群体</w:t>
      </w:r>
      <w:r>
        <w:rPr>
          <w:rFonts w:hint="eastAsia" w:ascii="仿宋" w:hAnsi="仿宋" w:eastAsia="仿宋" w:cs="仿宋"/>
          <w:color w:val="000000"/>
          <w:sz w:val="32"/>
          <w:szCs w:val="32"/>
        </w:rPr>
        <w:t>8</w:t>
      </w:r>
      <w:r>
        <w:rPr>
          <w:rFonts w:ascii="仿宋" w:hAnsi="仿宋" w:eastAsia="仿宋" w:cs="仿宋"/>
          <w:color w:val="000000"/>
          <w:sz w:val="32"/>
          <w:szCs w:val="32"/>
        </w:rPr>
        <w:t>万余株，创制优异种质材料红果44份、黄果</w:t>
      </w:r>
      <w:r>
        <w:rPr>
          <w:rFonts w:hint="eastAsia" w:ascii="仿宋" w:hAnsi="仿宋" w:eastAsia="仿宋" w:cs="仿宋"/>
          <w:color w:val="000000"/>
          <w:sz w:val="32"/>
          <w:szCs w:val="32"/>
        </w:rPr>
        <w:t>5</w:t>
      </w:r>
      <w:r>
        <w:rPr>
          <w:rFonts w:ascii="仿宋" w:hAnsi="仿宋" w:eastAsia="仿宋" w:cs="仿宋"/>
          <w:color w:val="000000"/>
          <w:sz w:val="32"/>
          <w:szCs w:val="32"/>
        </w:rPr>
        <w:t>份、黑果2份、单倍体</w:t>
      </w:r>
      <w:r>
        <w:rPr>
          <w:rFonts w:hint="eastAsia" w:ascii="仿宋" w:hAnsi="仿宋" w:eastAsia="仿宋" w:cs="仿宋"/>
          <w:color w:val="000000"/>
          <w:sz w:val="32"/>
          <w:szCs w:val="32"/>
        </w:rPr>
        <w:t>7</w:t>
      </w:r>
      <w:r>
        <w:rPr>
          <w:rFonts w:ascii="仿宋" w:hAnsi="仿宋" w:eastAsia="仿宋" w:cs="仿宋"/>
          <w:color w:val="000000"/>
          <w:sz w:val="32"/>
          <w:szCs w:val="32"/>
        </w:rPr>
        <w:t>份</w:t>
      </w:r>
      <w:r>
        <w:rPr>
          <w:rFonts w:hint="eastAsia" w:ascii="仿宋" w:hAnsi="仿宋" w:eastAsia="仿宋" w:cs="仿宋"/>
          <w:color w:val="000000"/>
          <w:sz w:val="32"/>
          <w:szCs w:val="32"/>
        </w:rPr>
        <w:t>，纯合二倍体材料</w:t>
      </w:r>
      <w:r>
        <w:rPr>
          <w:rFonts w:ascii="仿宋" w:hAnsi="仿宋" w:eastAsia="仿宋" w:cs="仿宋"/>
          <w:color w:val="000000"/>
          <w:sz w:val="32"/>
          <w:szCs w:val="32"/>
        </w:rPr>
        <w:t>10</w:t>
      </w:r>
      <w:r>
        <w:rPr>
          <w:rFonts w:hint="eastAsia" w:ascii="仿宋" w:hAnsi="仿宋" w:eastAsia="仿宋" w:cs="仿宋"/>
          <w:color w:val="000000"/>
          <w:sz w:val="32"/>
          <w:szCs w:val="32"/>
        </w:rPr>
        <w:t>份，在中宁、海源、固原、惠农、银川、同心等枸杞主产区布设枸杞新品种试验示范点，选育的科杞608、宁农杞15号、</w:t>
      </w:r>
      <w:r>
        <w:rPr>
          <w:rFonts w:ascii="仿宋" w:hAnsi="仿宋" w:eastAsia="仿宋" w:cs="仿宋"/>
          <w:color w:val="000000"/>
          <w:sz w:val="32"/>
          <w:szCs w:val="32"/>
        </w:rPr>
        <w:t>宁农杞19号、宁农杞20号</w:t>
      </w:r>
      <w:r>
        <w:rPr>
          <w:rFonts w:hint="eastAsia" w:ascii="仿宋" w:hAnsi="仿宋" w:eastAsia="仿宋" w:cs="仿宋"/>
          <w:color w:val="000000"/>
          <w:sz w:val="32"/>
          <w:szCs w:val="32"/>
        </w:rPr>
        <w:t>宁杞2号、3号、4号等新品种通过了国家品种保护。</w:t>
      </w:r>
    </w:p>
    <w:p>
      <w:pPr>
        <w:keepNext w:val="0"/>
        <w:keepLines w:val="0"/>
        <w:pageBreakBefore w:val="0"/>
        <w:kinsoku w:val="0"/>
        <w:wordWrap/>
        <w:overflowPunct/>
        <w:topLinePunct w:val="0"/>
        <w:bidi w:val="0"/>
        <w:adjustRightInd w:val="0"/>
        <w:snapToGrid w:val="0"/>
        <w:spacing w:line="560" w:lineRule="exact"/>
        <w:ind w:firstLine="643" w:firstLineChars="200"/>
        <w:jc w:val="both"/>
        <w:textAlignment w:val="baseline"/>
        <w:rPr>
          <w:rFonts w:ascii="仿宋" w:hAnsi="仿宋" w:eastAsia="仿宋" w:cs="仿宋"/>
          <w:color w:val="000000"/>
          <w:sz w:val="32"/>
          <w:szCs w:val="32"/>
        </w:rPr>
      </w:pPr>
      <w:r>
        <w:rPr>
          <w:rFonts w:hint="eastAsia" w:ascii="仿宋" w:hAnsi="仿宋" w:eastAsia="仿宋" w:cs="仿宋"/>
          <w:b/>
          <w:bCs/>
          <w:color w:val="000000"/>
          <w:sz w:val="32"/>
          <w:szCs w:val="32"/>
        </w:rPr>
        <w:t>二是积极开展良法</w:t>
      </w:r>
      <w:r>
        <w:rPr>
          <w:rFonts w:ascii="仿宋" w:hAnsi="仿宋" w:eastAsia="仿宋" w:cs="仿宋"/>
          <w:b/>
          <w:bCs/>
          <w:color w:val="000000"/>
          <w:sz w:val="32"/>
          <w:szCs w:val="32"/>
        </w:rPr>
        <w:t>栽培配套</w:t>
      </w:r>
      <w:r>
        <w:rPr>
          <w:rFonts w:hint="eastAsia" w:ascii="仿宋" w:hAnsi="仿宋" w:eastAsia="仿宋" w:cs="仿宋"/>
          <w:b/>
          <w:bCs/>
          <w:color w:val="000000"/>
          <w:sz w:val="32"/>
          <w:szCs w:val="32"/>
        </w:rPr>
        <w:t>技术研究。</w:t>
      </w:r>
      <w:r>
        <w:rPr>
          <w:rFonts w:hint="eastAsia" w:ascii="仿宋" w:hAnsi="仿宋" w:eastAsia="仿宋" w:cs="仿宋"/>
          <w:color w:val="000000"/>
          <w:sz w:val="32"/>
          <w:szCs w:val="32"/>
        </w:rPr>
        <w:t>开展了宁夏枸杞区划与品种区域适应标准、退砂地杞瓜间作关键技术、枸杞产业优质高效关键技术的研究示范工作，探索建立了“宁杞7号”、“宁农杞9号”、“宁农杞2号”、“宁农杞15号”等枸杞新品种的配方施肥技术，确定了枸杞生育期内氮、磷、钾施用的关键期及最佳施肥量，构建起配方施肥技术的产量模型。明晰了氮传递规律及氮磷钾元素对枸杞果实中多糖、黄酮、甜菜碱和氨基酸等功效成分的调控机理。</w:t>
      </w:r>
    </w:p>
    <w:p>
      <w:pPr>
        <w:keepNext w:val="0"/>
        <w:keepLines w:val="0"/>
        <w:pageBreakBefore w:val="0"/>
        <w:kinsoku w:val="0"/>
        <w:wordWrap/>
        <w:overflowPunct/>
        <w:topLinePunct w:val="0"/>
        <w:bidi w:val="0"/>
        <w:adjustRightInd w:val="0"/>
        <w:snapToGrid w:val="0"/>
        <w:spacing w:line="560" w:lineRule="exact"/>
        <w:ind w:firstLine="643" w:firstLineChars="200"/>
        <w:jc w:val="both"/>
        <w:textAlignment w:val="baseline"/>
        <w:rPr>
          <w:rFonts w:ascii="仿宋" w:hAnsi="仿宋" w:eastAsia="仿宋" w:cs="仿宋"/>
          <w:sz w:val="32"/>
          <w:szCs w:val="32"/>
        </w:rPr>
      </w:pPr>
      <w:r>
        <w:rPr>
          <w:rFonts w:hint="eastAsia" w:ascii="仿宋" w:hAnsi="仿宋" w:eastAsia="仿宋" w:cs="仿宋"/>
          <w:b/>
          <w:bCs/>
          <w:sz w:val="32"/>
          <w:szCs w:val="32"/>
        </w:rPr>
        <w:t>三是联合攻关枸杞功效物质基础研究。</w:t>
      </w:r>
      <w:r>
        <w:rPr>
          <w:rFonts w:hint="eastAsia" w:ascii="仿宋" w:hAnsi="仿宋" w:eastAsia="仿宋" w:cs="仿宋"/>
          <w:sz w:val="32"/>
          <w:szCs w:val="32"/>
        </w:rPr>
        <w:t xml:space="preserve">依托国家枸杞工程技术研究中心平台，联合美国罗格斯大学、北京大学医学部、西安交通大学医学部、南京农业大学等国内外营养与医学方向杰出团队揭示了枸杞多糖通过肠道菌群调节发挥降血糖、提高免疫力、肝损伤保护等机制，枸杞花粉多糖前列腺癌抑制功效及机制，枸杞酸AA-2βG通过调节结肠菌群发挥免疫调节功效、枸杞花色苷通过调节肠道微生物发挥降脂作用及通过铁死亡机制发挥抑制结肠癌等作用及机理；创新枸杞功效成分提制工艺技术3套、研发出枸杞酸AA-2βG中试合成工艺1套，首次实现枸杞活性成分人工合成突破；研发枸杞明目胶囊等深加工产品10个。部分研究成果在国内外具有重要影响力的期刊上发表，其中，TOP1区封面论文3篇，得到了国内外同行专家的认可。 </w:t>
      </w:r>
    </w:p>
    <w:p>
      <w:pPr>
        <w:keepNext w:val="0"/>
        <w:keepLines w:val="0"/>
        <w:pageBreakBefore w:val="0"/>
        <w:widowControl/>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仿宋" w:hAnsi="仿宋" w:eastAsia="仿宋" w:cs="仿宋"/>
          <w:sz w:val="32"/>
          <w:szCs w:val="32"/>
        </w:rPr>
      </w:pPr>
      <w:r>
        <w:rPr>
          <w:rFonts w:hint="eastAsia" w:ascii="仿宋" w:hAnsi="仿宋" w:eastAsia="仿宋" w:cs="仿宋"/>
          <w:b/>
          <w:bCs/>
          <w:sz w:val="32"/>
          <w:szCs w:val="32"/>
        </w:rPr>
        <w:t>四是强化基础研究平台与团队建设</w:t>
      </w:r>
      <w:r>
        <w:rPr>
          <w:rFonts w:hint="eastAsia" w:ascii="仿宋" w:hAnsi="仿宋" w:eastAsia="仿宋" w:cs="仿宋"/>
          <w:sz w:val="32"/>
          <w:szCs w:val="32"/>
        </w:rPr>
        <w:t xml:space="preserve"> </w:t>
      </w:r>
      <w:r>
        <w:rPr>
          <w:rFonts w:ascii="仿宋" w:hAnsi="仿宋" w:eastAsia="仿宋" w:cs="仿宋"/>
          <w:sz w:val="32"/>
          <w:szCs w:val="32"/>
        </w:rPr>
        <w:t>整合</w:t>
      </w:r>
      <w:r>
        <w:rPr>
          <w:rFonts w:hint="eastAsia" w:ascii="仿宋" w:hAnsi="仿宋" w:eastAsia="仿宋" w:cs="仿宋"/>
          <w:sz w:val="32"/>
          <w:szCs w:val="32"/>
        </w:rPr>
        <w:t>我</w:t>
      </w:r>
      <w:r>
        <w:rPr>
          <w:rFonts w:ascii="仿宋" w:hAnsi="仿宋" w:eastAsia="仿宋" w:cs="仿宋"/>
          <w:sz w:val="32"/>
          <w:szCs w:val="32"/>
        </w:rPr>
        <w:t>院</w:t>
      </w:r>
      <w:r>
        <w:rPr>
          <w:rFonts w:hint="eastAsia" w:ascii="仿宋" w:hAnsi="仿宋" w:eastAsia="仿宋" w:cs="仿宋"/>
          <w:sz w:val="32"/>
          <w:szCs w:val="32"/>
        </w:rPr>
        <w:t>创新资源，</w:t>
      </w:r>
      <w:r>
        <w:rPr>
          <w:rFonts w:ascii="仿宋" w:hAnsi="仿宋" w:eastAsia="仿宋" w:cs="仿宋"/>
          <w:sz w:val="32"/>
          <w:szCs w:val="32"/>
        </w:rPr>
        <w:t>引进南京中医药大学、南京理工大学等一流专家团队，</w:t>
      </w:r>
      <w:r>
        <w:rPr>
          <w:rFonts w:hint="eastAsia" w:ascii="仿宋" w:hAnsi="仿宋" w:eastAsia="仿宋" w:cs="仿宋"/>
          <w:sz w:val="32"/>
          <w:szCs w:val="32"/>
        </w:rPr>
        <w:t>建立中国枸杞研究院，共同推进枸杞产业科技攻关。目前依托国家枸杞工程技术研究中心、中国枸杞研究院科技平台，培育形成“枸杞种质创新与遗传改良”及“枸杞功效物质基础研究”团队2个，研究人员共计53人。培养各类人才20人，其中自治区院士后备人才1人、享国务院特贴3人、自治区313人才1人、自治区312人才1人、自</w:t>
      </w:r>
      <w:r>
        <w:rPr>
          <w:rFonts w:hint="eastAsia" w:ascii="仿宋" w:hAnsi="仿宋" w:eastAsia="仿宋" w:cs="仿宋"/>
          <w:spacing w:val="-11"/>
          <w:sz w:val="32"/>
          <w:szCs w:val="32"/>
        </w:rPr>
        <w:t>治区创新领军人才及青年拔尖人才共计10人、自治区托举人才4人。</w:t>
      </w: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keepNext w:val="0"/>
        <w:keepLines w:val="0"/>
        <w:pageBreakBefore w:val="0"/>
        <w:widowControl w:val="0"/>
        <w:kinsoku w:val="0"/>
        <w:wordWrap/>
        <w:overflowPunct/>
        <w:topLinePunct w:val="0"/>
        <w:autoSpaceDE/>
        <w:autoSpaceDN/>
        <w:bidi w:val="0"/>
        <w:spacing w:line="560" w:lineRule="exact"/>
        <w:ind w:left="0" w:firstLine="720"/>
        <w:jc w:val="both"/>
        <w:rPr>
          <w:rFonts w:hint="eastAsia" w:ascii="仿宋" w:hAnsi="仿宋" w:eastAsia="仿宋" w:cs="仿宋"/>
          <w:sz w:val="32"/>
          <w:szCs w:val="32"/>
          <w:lang w:val="en-US" w:eastAsia="zh-CN"/>
        </w:rPr>
      </w:pPr>
    </w:p>
    <w:p>
      <w:pPr>
        <w:pStyle w:val="2"/>
        <w:keepNext w:val="0"/>
        <w:keepLines w:val="0"/>
        <w:pageBreakBefore w:val="0"/>
        <w:widowControl w:val="0"/>
        <w:kinsoku w:val="0"/>
        <w:wordWrap/>
        <w:overflowPunct/>
        <w:topLinePunct w:val="0"/>
        <w:autoSpaceDE/>
        <w:autoSpaceDN/>
        <w:bidi w:val="0"/>
        <w:spacing w:line="560" w:lineRule="exact"/>
        <w:ind w:firstLine="6080" w:firstLineChars="19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宁夏农林科学院</w:t>
      </w:r>
    </w:p>
    <w:p>
      <w:pPr>
        <w:pStyle w:val="2"/>
        <w:keepNext w:val="0"/>
        <w:keepLines w:val="0"/>
        <w:pageBreakBefore w:val="0"/>
        <w:widowControl w:val="0"/>
        <w:kinsoku w:val="0"/>
        <w:wordWrap/>
        <w:overflowPunct/>
        <w:topLinePunct w:val="0"/>
        <w:autoSpaceDE/>
        <w:autoSpaceDN/>
        <w:bidi w:val="0"/>
        <w:spacing w:line="560" w:lineRule="exact"/>
        <w:ind w:left="0" w:firstLine="5894" w:firstLineChars="1842"/>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2023年6月26日</w:t>
      </w:r>
    </w:p>
    <w:p>
      <w:pPr>
        <w:rPr>
          <w:rFonts w:hint="eastAsia" w:ascii="仿宋" w:hAnsi="仿宋" w:eastAsia="仿宋" w:cs="仿宋"/>
          <w:sz w:val="32"/>
          <w:szCs w:val="32"/>
          <w:lang w:val="en-US" w:eastAsia="zh-CN"/>
        </w:rPr>
      </w:pPr>
    </w:p>
    <w:p>
      <w:pPr>
        <w:keepNext w:val="0"/>
        <w:keepLines w:val="0"/>
        <w:pageBreakBefore w:val="0"/>
        <w:kinsoku w:val="0"/>
        <w:wordWrap/>
        <w:overflowPunct/>
        <w:topLinePunct w:val="0"/>
        <w:bidi w:val="0"/>
        <w:adjustRightInd w:val="0"/>
        <w:snapToGrid w:val="0"/>
        <w:jc w:val="center"/>
        <w:textAlignment w:val="baseline"/>
        <w:rPr>
          <w:rFonts w:ascii="仿宋" w:hAnsi="仿宋" w:eastAsia="仿宋" w:cs="仿宋"/>
          <w:spacing w:val="6"/>
          <w:sz w:val="31"/>
          <w:szCs w:val="31"/>
        </w:rPr>
      </w:pPr>
      <w:r>
        <w:rPr>
          <w:rFonts w:ascii="仿宋" w:hAnsi="仿宋" w:eastAsia="仿宋" w:cs="仿宋"/>
          <w:spacing w:val="12"/>
          <w:sz w:val="31"/>
          <w:szCs w:val="31"/>
        </w:rPr>
        <w:t>(联</w:t>
      </w:r>
      <w:r>
        <w:rPr>
          <w:rFonts w:ascii="仿宋" w:hAnsi="仿宋" w:eastAsia="仿宋" w:cs="仿宋"/>
          <w:spacing w:val="8"/>
          <w:sz w:val="31"/>
          <w:szCs w:val="31"/>
        </w:rPr>
        <w:t>系</w:t>
      </w:r>
      <w:r>
        <w:rPr>
          <w:rFonts w:ascii="仿宋" w:hAnsi="仿宋" w:eastAsia="仿宋" w:cs="仿宋"/>
          <w:spacing w:val="6"/>
          <w:sz w:val="31"/>
          <w:szCs w:val="31"/>
        </w:rPr>
        <w:t>单位及电话： 宁夏农林科学院  0951-6886707)</w:t>
      </w:r>
    </w:p>
    <w:p>
      <w:pPr>
        <w:pStyle w:val="2"/>
        <w:rPr>
          <w:rFonts w:ascii="仿宋" w:hAnsi="仿宋" w:eastAsia="仿宋" w:cs="仿宋"/>
          <w:spacing w:val="6"/>
          <w:sz w:val="31"/>
          <w:szCs w:val="31"/>
        </w:rPr>
      </w:pPr>
    </w:p>
    <w:p>
      <w:pPr>
        <w:rPr>
          <w:rFonts w:ascii="仿宋" w:hAnsi="仿宋" w:eastAsia="仿宋" w:cs="仿宋"/>
          <w:spacing w:val="6"/>
          <w:sz w:val="31"/>
          <w:szCs w:val="31"/>
        </w:rPr>
      </w:pPr>
    </w:p>
    <w:p>
      <w:pPr>
        <w:pStyle w:val="2"/>
        <w:rPr>
          <w:rFonts w:ascii="仿宋" w:hAnsi="仿宋" w:eastAsia="仿宋" w:cs="仿宋"/>
          <w:spacing w:val="6"/>
          <w:sz w:val="31"/>
          <w:szCs w:val="31"/>
        </w:rPr>
      </w:pPr>
    </w:p>
    <w:p/>
    <w:sectPr>
      <w:footerReference r:id="rId5" w:type="default"/>
      <w:pgSz w:w="11906" w:h="16838"/>
      <w:pgMar w:top="1431" w:right="1332" w:bottom="1912" w:left="1647" w:header="0" w:footer="16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56C33CA-4C46-407E-82BE-AA7A55DF968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D1090BA5-58A4-49CA-8403-F04CF90B0DF8}"/>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D455CA98-3D6F-4BC2-A807-0414225D0565}"/>
  </w:font>
  <w:font w:name="微软雅黑">
    <w:panose1 w:val="020B0503020204020204"/>
    <w:charset w:val="86"/>
    <w:family w:val="auto"/>
    <w:pitch w:val="default"/>
    <w:sig w:usb0="80000287" w:usb1="280F3C52" w:usb2="00000016" w:usb3="00000000" w:csb0="0004001F" w:csb1="00000000"/>
  </w:font>
  <w:font w:name="华光行楷_CNKI">
    <w:panose1 w:val="02000500000000000000"/>
    <w:charset w:val="86"/>
    <w:family w:val="auto"/>
    <w:pitch w:val="default"/>
    <w:sig w:usb0="A00002BF" w:usb1="18CF7CFA" w:usb2="00000016" w:usb3="00000000" w:csb0="0004000F"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292"/>
      <w:rPr>
        <w:rFonts w:ascii="宋体" w:hAnsi="宋体" w:eastAsia="宋体" w:cs="宋体"/>
        <w:sz w:val="28"/>
        <w:szCs w:val="28"/>
      </w:rPr>
    </w:pPr>
    <w:r>
      <w:rPr>
        <w:rFonts w:ascii="宋体" w:hAnsi="宋体" w:eastAsia="宋体" w:cs="宋体"/>
        <w:sz w:val="28"/>
        <w:szCs w:val="28"/>
      </w:rPr>
      <w:t>— 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RmZDNlM2U4YzA2Y2ZkYzk3ZjFkOGI5ZjVmNGE0ZjMifQ=="/>
  </w:docVars>
  <w:rsids>
    <w:rsidRoot w:val="00000000"/>
    <w:rsid w:val="115C6EF9"/>
    <w:rsid w:val="11A03E61"/>
    <w:rsid w:val="17C76AD9"/>
    <w:rsid w:val="247076DA"/>
    <w:rsid w:val="251E2F40"/>
    <w:rsid w:val="2F734178"/>
    <w:rsid w:val="2FAA48BF"/>
    <w:rsid w:val="5CBE3EFF"/>
    <w:rsid w:val="69A10D8D"/>
    <w:rsid w:val="6CDF40E4"/>
    <w:rsid w:val="7BF943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color w:val="000000"/>
      <w:kern w:val="0"/>
      <w:sz w:val="24"/>
    </w:rPr>
  </w:style>
  <w:style w:type="paragraph" w:styleId="3">
    <w:name w:val="Body Text"/>
    <w:basedOn w:val="1"/>
    <w:next w:val="1"/>
    <w:qFormat/>
    <w:uiPriority w:val="0"/>
    <w:pPr>
      <w:widowControl w:val="0"/>
      <w:spacing w:after="120"/>
      <w:jc w:val="both"/>
    </w:pPr>
    <w:rPr>
      <w:rFonts w:ascii="Times New Roman" w:hAnsi="Times New Roman" w:eastAsia="方正仿宋_GBK" w:cs="Times New Roman"/>
      <w:kern w:val="2"/>
      <w:sz w:val="24"/>
      <w:szCs w:val="24"/>
      <w:lang w:val="en-US" w:eastAsia="zh-CN" w:bidi="ar-SA"/>
    </w:rPr>
  </w:style>
  <w:style w:type="paragraph" w:styleId="4">
    <w:name w:val="Body Text Indent"/>
    <w:basedOn w:val="1"/>
    <w:next w:val="5"/>
    <w:qFormat/>
    <w:uiPriority w:val="0"/>
    <w:pPr>
      <w:ind w:left="600"/>
    </w:pPr>
    <w:rPr>
      <w:rFonts w:eastAsia="仿宋_GB2312"/>
      <w:sz w:val="30"/>
      <w:szCs w:val="24"/>
    </w:rPr>
  </w:style>
  <w:style w:type="paragraph" w:styleId="5">
    <w:name w:val="annotation subject"/>
    <w:next w:val="1"/>
    <w:qFormat/>
    <w:uiPriority w:val="0"/>
    <w:pPr>
      <w:widowControl w:val="0"/>
      <w:autoSpaceDE/>
      <w:autoSpaceDN/>
      <w:spacing w:before="0" w:after="0" w:line="240" w:lineRule="auto"/>
      <w:ind w:left="0" w:firstLine="0"/>
    </w:pPr>
    <w:rPr>
      <w:rFonts w:ascii="Times New Roman" w:hAnsi="Times New Roman" w:eastAsia="宋体" w:cs="Times New Roman"/>
      <w:b/>
      <w:sz w:val="21"/>
      <w:szCs w:val="22"/>
    </w:rPr>
  </w:style>
  <w:style w:type="paragraph" w:styleId="6">
    <w:name w:val="footer"/>
    <w:qFormat/>
    <w:uiPriority w:val="0"/>
    <w:pPr>
      <w:widowControl w:val="0"/>
      <w:tabs>
        <w:tab w:val="center" w:pos="4153"/>
        <w:tab w:val="right" w:pos="8306"/>
      </w:tabs>
      <w:snapToGrid w:val="0"/>
      <w:jc w:val="left"/>
    </w:pPr>
    <w:rPr>
      <w:rFonts w:ascii="Times New Roman" w:hAnsi="Times New Roman" w:eastAsia="方正仿宋_GBK" w:cs="Times New Roman"/>
      <w:kern w:val="2"/>
      <w:sz w:val="18"/>
      <w:szCs w:val="24"/>
      <w:lang w:val="en-US" w:eastAsia="zh-CN" w:bidi="ar-SA"/>
    </w:rPr>
  </w:style>
  <w:style w:type="paragraph" w:styleId="7">
    <w:name w:val="Body Text First Indent 2"/>
    <w:basedOn w:val="4"/>
    <w:next w:val="1"/>
    <w:qFormat/>
    <w:uiPriority w:val="0"/>
    <w:pPr>
      <w:spacing w:after="120" w:afterLines="0"/>
      <w:ind w:left="200" w:leftChars="200" w:firstLine="200" w:firstLineChars="200"/>
    </w:pPr>
    <w:rPr>
      <w:rFonts w:ascii="Times New Roman" w:hAnsi="Times New Roman"/>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1473</Words>
  <Characters>1545</Characters>
  <TotalTime>6</TotalTime>
  <ScaleCrop>false</ScaleCrop>
  <LinksUpToDate>false</LinksUpToDate>
  <CharactersWithSpaces>1586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2022-08-08T03:46:00Z</dcterms:created>
  <dc:creator>Administrator</dc:creator>
  <cp:lastModifiedBy>箬谦</cp:lastModifiedBy>
  <dcterms:modified xsi:type="dcterms:W3CDTF">2023-11-07T08:23:35Z</dcterms:modified>
  <dc:title>宁夏农林科学院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2022-08-08T16:05:16Z</vt:filetime>
  </property>
  <property fmtid="{D5CDD505-2E9C-101B-9397-08002B2CF9AE}" pid="4" name="KSOProductBuildVer">
    <vt:lpwstr>2052-12.1.0.15712</vt:lpwstr>
  </property>
  <property fmtid="{D5CDD505-2E9C-101B-9397-08002B2CF9AE}" pid="5" name="ICV">
    <vt:lpwstr>55A794E76B07476CB3E5D052FD7044B7_13</vt:lpwstr>
  </property>
</Properties>
</file>